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E41FF" w14:textId="12DE14E7" w:rsidR="00AD7554" w:rsidRPr="00AD7554" w:rsidRDefault="00AD7554" w:rsidP="00890EC7">
      <w:pPr>
        <w:ind w:left="7788" w:firstLine="708"/>
        <w:rPr>
          <w:b/>
          <w:bCs/>
        </w:rPr>
      </w:pPr>
      <w:r w:rsidRPr="00AD7554">
        <w:rPr>
          <w:b/>
          <w:bCs/>
        </w:rPr>
        <w:t>Anlage 1</w:t>
      </w:r>
    </w:p>
    <w:p w14:paraId="59FDB738" w14:textId="77777777" w:rsidR="00AD7554" w:rsidRDefault="00AD7554" w:rsidP="00AD7554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Merkblatt zum Betriebspraktikum von </w:t>
      </w:r>
      <w:proofErr w:type="spellStart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>Schülerinnen</w:t>
      </w:r>
      <w:proofErr w:type="spellEnd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und </w:t>
      </w:r>
      <w:proofErr w:type="spellStart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>Schülern</w:t>
      </w:r>
      <w:proofErr w:type="spellEnd"/>
      <w:r w:rsidRPr="00F84599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</w:p>
    <w:p w14:paraId="1BA5395D" w14:textId="1B8106FA" w:rsidR="00AD7554" w:rsidRPr="00396241" w:rsidRDefault="00AD7554" w:rsidP="00AD7554">
      <w:pPr>
        <w:rPr>
          <w:rFonts w:eastAsia="Times New Roman" w:cstheme="minorHAnsi"/>
          <w:b/>
          <w:bCs/>
          <w:sz w:val="28"/>
          <w:szCs w:val="28"/>
          <w:lang w:eastAsia="de-DE"/>
        </w:rPr>
      </w:pPr>
      <w:r w:rsidRPr="006B2D49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6B2D49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6B2D49">
        <w:rPr>
          <w:rFonts w:eastAsia="Times New Roman" w:cstheme="minorHAnsi"/>
          <w:sz w:val="16"/>
          <w:szCs w:val="16"/>
          <w:lang w:eastAsia="de-DE"/>
        </w:rPr>
        <w:t xml:space="preserve">. Verz. Nr. 7200) </w:t>
      </w:r>
    </w:p>
    <w:p w14:paraId="1E96D615" w14:textId="3FF568EE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nachfolgenden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Auszüge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dem „Erlass zur Ausgestaltung der Berufs- und Studienorientierung in Schulen“ (Erlass vom 8. Juni 2015,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ABl.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S. 217) geben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Organisation des Praktikums, Datenschutzbestimmungen sowie Regelungen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Unfallversicherungs- und Haftpflichtschutz wieder. </w:t>
      </w:r>
    </w:p>
    <w:p w14:paraId="1B9FB23B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</w:t>
      </w:r>
    </w:p>
    <w:p w14:paraId="588549AA" w14:textId="77777777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vielfältigen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Bildungsgänge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allgemeinbildender und beruflicher Schulen erfordern in der Regel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Vorbereitung auf die Berufs- und Arbeitswelt exemplarische Einsichten in das Arbeits-, Berufs- und Wirtschaftsleben der Unternehmen oder Betriebe. </w:t>
      </w:r>
    </w:p>
    <w:p w14:paraId="0C67DC7F" w14:textId="2A51798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Durch Zusammenarbeit zwischen Schulen und Unternehmen oder Betrieben sollen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2B1A73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aller Schulformen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Möglichkeiten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gegeben werden, exemplarische Einsichten in das Arbeits-, Berufs- und Wirtschaftsleben zu erhalten. Eigene Anschauungen und Erfahrungen betrieblicher Praxis,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Gespräche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Betriebsangehörigen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Erkundungen des betrieblichen Umfeldes vermitteln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2B1A73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wichtige Erkenntnisse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ihre berufliche Orientierung. Dies erleichtert den Einsatz handlungsorientierter Arbeitsformen im Unterricht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fördert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Einstieg in Berufsausbildung und -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82B088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Organisation </w:t>
      </w:r>
    </w:p>
    <w:p w14:paraId="3BBB1451" w14:textId="3224B498" w:rsidR="00AD7554" w:rsidRPr="002B1A73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Betriebspraktika sind nach Maßgabe der jeweiligen Stundentafeln bei allgemeinbildenden Schulen Bestandteile des Berufsorientierungsprozesses und bei beruflichen Schulen Bestandteile des beruflichen Lernbereichs. Unternehmen oder Betriebe sollen so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ausgewählt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werden, dass die angestrebten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erreicht werden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können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Dabei ist es wichtig, in Absprache mit den Praktikumsbetrieben geeignete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Beschäftigungsmöglichkeiten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zu finden. </w:t>
      </w:r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Unternehmen oder Betriebe sollen in zumutbarer Entfernung vom Wohnort der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b/>
          <w:bCs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b/>
          <w:bCs/>
          <w:sz w:val="21"/>
          <w:szCs w:val="21"/>
          <w:lang w:eastAsia="de-DE"/>
        </w:rPr>
        <w:t>/Schüler</w:t>
      </w:r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liegen und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möglichst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mit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öffentlichen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 Verkehrsmitteln erreicht werden </w:t>
      </w:r>
      <w:proofErr w:type="spellStart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>können</w:t>
      </w:r>
      <w:proofErr w:type="spellEnd"/>
      <w:r w:rsidRPr="002B1A73">
        <w:rPr>
          <w:rFonts w:eastAsia="Times New Roman" w:cstheme="minorHAnsi"/>
          <w:b/>
          <w:bCs/>
          <w:sz w:val="21"/>
          <w:szCs w:val="21"/>
          <w:lang w:eastAsia="de-DE"/>
        </w:rPr>
        <w:t xml:space="preserve">. </w:t>
      </w:r>
    </w:p>
    <w:p w14:paraId="13074923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Rahmen der Berufsorientierung sollen sachkundige Personen in die Vor- und Nachbereitung des Betriebspraktikums einbezogen werden. Dazu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gehören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z.B. Personen der Unternehmen oder Betriebe, der Berufsberatung der Agentur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Arbeit, von Gewerkschaften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Arbeitgeberverbänden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von Kammern, Innungen, Jugend- und Auszubildendenvertretungen, Betriebs-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Personalräten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des Amtes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Arbeitsschutz und Sicherheitstechnik. </w:t>
      </w:r>
    </w:p>
    <w:p w14:paraId="198D71CC" w14:textId="1AB36D44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unterliegen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Dauer des Betriebspraktikums dem Weisungsrecht des Betriebspersonals. </w:t>
      </w:r>
    </w:p>
    <w:p w14:paraId="62536DC8" w14:textId="24AD65F0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Betriebspraktika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begründen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weder ein Ausbildungs- noch ein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Beschäftigungsverhältnis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Eine finanzielle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Vergütung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EF2A09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ist nach dem Gesetz zur Regelung eines allgemeinen Mindestlohns (Mindestlohngesetz – MiLoG in der jeweils geltenden Fassung) nicht vorgesehen. </w:t>
      </w:r>
    </w:p>
    <w:p w14:paraId="35A78738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Datenschutz </w:t>
      </w:r>
    </w:p>
    <w:p w14:paraId="76FB48F4" w14:textId="175247B4" w:rsidR="00AD7554" w:rsidRPr="00C23800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Erhalten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während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eines Betriebspraktikums in privaten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öffentlichen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Einrichtungen (z.B. Polizeiverwaltung, Banken und Sparkassen, Freie Berufe, Personalabteilungen, Bereiche mit Aufgaben der Kundenbetreuung,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Krankenhäuser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Pflegeheime oder sonstige soziale Einrichtungen sowie Entwicklungsabteilungen) Kenntnisse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personenbezogene Daten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firmenspezifische technische Konzepte, Prozesse oder Patente, ist das geltende Datenschutzrecht anzuwenden und die </w:t>
      </w:r>
      <w:r w:rsidRPr="00C23800">
        <w:rPr>
          <w:rFonts w:eastAsia="Times New Roman" w:cstheme="minorHAnsi"/>
          <w:b/>
          <w:bCs/>
          <w:sz w:val="21"/>
          <w:szCs w:val="21"/>
          <w:lang w:eastAsia="de-DE"/>
        </w:rPr>
        <w:t xml:space="preserve">Wahrung aller Betriebsgeheimnisse sicherzustellen. </w:t>
      </w:r>
    </w:p>
    <w:p w14:paraId="212AC223" w14:textId="465B6253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zu Beginn des Betriebspraktikums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an ihrem Arbeitsplatz zu bearbeitenden Daten zu belehren. Sie werden mit einer schriftlichen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Erklärung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„Datenschutz im Betriebspraktikum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- Verpflichtung zur Verschwiegenheit“ zur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ausdrücklichen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Verschwiegenheit verpflichtet. </w:t>
      </w:r>
    </w:p>
    <w:p w14:paraId="0066782F" w14:textId="1BE8896A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Lehrkräfte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das Betriebspraktikum betreuen, weisen bei der Vorbereitung,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Durchführung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Auswertung des Praktikums auf datenschutzrechtliche Fragestellungen hin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erklären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altersgemäß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Bedeutung der Verschwiegenheitspflicht. </w:t>
      </w:r>
    </w:p>
    <w:p w14:paraId="761D50C7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Bestimmungen des Jugendarbeitsschutzgesetzes und des Infektionsschutzgesetzes </w:t>
      </w:r>
    </w:p>
    <w:p w14:paraId="64C8CF76" w14:textId="41418A11" w:rsidR="00AD7554" w:rsidRDefault="00AD7554" w:rsidP="00DC1564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Betriebspraktika sind einem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Berufsausbildungsverhältnis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Es finden daher die Bestimmungen des Gesetzes zum Schutz der arbeitenden Jugend (Jugendarbeitsschutzgesetz -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vom 12. April 1976 (BGBl. I S. 965), zuletzt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geändert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Artikel 3 Absatz 7 des Gesetzes vom 20. April 2013 (BGBl. I S. 868) in der jeweils geltenden Fassung und des jeweiligen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Unfallversicherungsträgers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entsprechende Anwendung. – Soweit hier Stunden angesprochen sind, handelt es sich um Zeitstunden à 60 Minuten. </w:t>
      </w:r>
    </w:p>
    <w:p w14:paraId="0A5A7DA4" w14:textId="77777777" w:rsidR="00DC1564" w:rsidRPr="00CE2E27" w:rsidRDefault="00DC1564" w:rsidP="00DC1564">
      <w:pPr>
        <w:spacing w:after="0"/>
        <w:rPr>
          <w:rFonts w:eastAsia="Times New Roman" w:cstheme="minorHAnsi"/>
          <w:sz w:val="21"/>
          <w:szCs w:val="21"/>
          <w:lang w:eastAsia="de-DE"/>
        </w:rPr>
      </w:pPr>
    </w:p>
    <w:p w14:paraId="50EFC04C" w14:textId="1A8D7EAE" w:rsidR="00AD7554" w:rsidRPr="00DC1564" w:rsidRDefault="00AD7554" w:rsidP="00DC1564">
      <w:pPr>
        <w:numPr>
          <w:ilvl w:val="0"/>
          <w:numId w:val="3"/>
        </w:numPr>
        <w:spacing w:after="120" w:line="240" w:lineRule="auto"/>
        <w:ind w:left="714" w:hanging="357"/>
        <w:contextualSpacing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Jugendliche oder Jugendlicher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ist, wer 15, aber noch nicht 18 Jahre alt ist (§ 2 Abs. 2). </w:t>
      </w:r>
    </w:p>
    <w:p w14:paraId="58489E56" w14:textId="24BABCB3" w:rsidR="00AD7554" w:rsidRPr="00DC1564" w:rsidRDefault="00AD7554" w:rsidP="00DC1564">
      <w:pPr>
        <w:numPr>
          <w:ilvl w:val="0"/>
          <w:numId w:val="3"/>
        </w:numPr>
        <w:spacing w:after="120" w:line="240" w:lineRule="auto"/>
        <w:ind w:left="714" w:hanging="357"/>
        <w:contextualSpacing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Kind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ist, wer noch nicht 15 Jahre alt ist (§ 2 Abs. 1). </w:t>
      </w:r>
    </w:p>
    <w:p w14:paraId="183DEA7B" w14:textId="36057132" w:rsidR="00AD7554" w:rsidRPr="00DC1564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Jugendliche, die der Vollzeitschulpflicht unterliegen, gelten als Kinder im Sinne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2 Abs. 3). </w:t>
      </w:r>
    </w:p>
    <w:p w14:paraId="6A25FB0C" w14:textId="5508DA2C" w:rsidR="00AD7554" w:rsidRPr="00DC1564" w:rsidRDefault="00AD7554" w:rsidP="00DC156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bis zur Vollendung des 15. Lebensjahres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bis zu sieben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35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wöchentlich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nur mit leichten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sie geeigneten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5 Abs. 2 Satz 2 i. V. m. § 7 Satz 1 Nr.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Vorschriften der §§ 8 – 46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entsprechend anzuwenden; dabei kommen die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Berufsschule (§ 9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Prüfungen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außerbetriebliche Ausbildungsmaßnahmen (§ 10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Urlaub (§ 19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und Ausnahmen in besonderen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Fällen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21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nicht in Betracht. </w:t>
      </w:r>
    </w:p>
    <w:p w14:paraId="4E1CD8F2" w14:textId="23D0D8AE" w:rsidR="00AD7554" w:rsidRPr="00CE2E27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der Vollzeitschulpflicht nicht mehr unterliegen,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mehr als acht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40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wöchentlich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8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43BB90BC" w14:textId="77777777" w:rsidR="00AD7554" w:rsidRPr="00CE2E27" w:rsidRDefault="00AD7554" w:rsidP="00AD7554">
      <w:pPr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Die Arbeitszeit liegt Montag bis Freitag in der Zeit zwischen 6 und 20 Uhr (§ 14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Dabei gelten folgende Ausnahmen: </w:t>
      </w:r>
    </w:p>
    <w:p w14:paraId="0DAC4774" w14:textId="77777777" w:rsidR="00AD7554" w:rsidRPr="00CE2E27" w:rsidRDefault="00AD7554" w:rsidP="00AD7554">
      <w:pPr>
        <w:spacing w:before="100" w:beforeAutospacing="1" w:after="100" w:afterAutospacing="1"/>
        <w:ind w:left="72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1. Jugendliche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16 Jahre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a) im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- und Schaustellergewerbe bis 22 Uhr; b) in mehrschichtigen Betrieben bis 23 Uhr;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>c) in der Landwirtschaft ab 5 Uhr oder bis 21 Uhr;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d)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Konditoreien ab 5 Uhr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14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253DE7BD" w14:textId="77777777" w:rsidR="00AD7554" w:rsidRPr="00CE2E27" w:rsidRDefault="00AD7554" w:rsidP="00AD7554">
      <w:pPr>
        <w:spacing w:before="100" w:beforeAutospacing="1" w:after="100" w:afterAutospacing="1"/>
        <w:ind w:left="720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2. Jugendliche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17 Jahre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ab 4 Uhr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 (§ 14 Abs. 3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5A41DA8A" w14:textId="3CDCE460" w:rsidR="00AD7554" w:rsidRPr="00DC1564" w:rsidRDefault="00AD7554" w:rsidP="00DC156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In den in § 16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aufgeführten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Ausnahmefällen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(z.B. Krankenanstalten und Heime, Verkaufsstellen,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Bäckereien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Friseurbetriebe, Landwirtschaft,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können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der Vollzeitschulpflicht nicht mehr unterliegen auch an Samstagen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sein.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beträgt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keinem Fall mehr als acht Stunden. </w:t>
      </w:r>
    </w:p>
    <w:p w14:paraId="15A82DBF" w14:textId="44CDF9E2" w:rsidR="00AD7554" w:rsidRPr="00DC1564" w:rsidRDefault="00AD7554" w:rsidP="00AD7554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ist die Zeit vom Beginn bis zum Ende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ohne die Ruhepausen (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§ 4 Abs. 1). </w:t>
      </w:r>
    </w:p>
    <w:p w14:paraId="5C27A659" w14:textId="4F3C2F92" w:rsidR="00AD7554" w:rsidRPr="00DC1564" w:rsidRDefault="00AD7554" w:rsidP="00DC1564">
      <w:pPr>
        <w:numPr>
          <w:ilvl w:val="0"/>
          <w:numId w:val="4"/>
        </w:numPr>
        <w:spacing w:after="0" w:line="240" w:lineRule="auto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EF2A09">
        <w:rPr>
          <w:rFonts w:eastAsia="Times New Roman" w:cstheme="minorHAnsi"/>
          <w:sz w:val="21"/>
          <w:szCs w:val="21"/>
          <w:lang w:eastAsia="de-DE"/>
        </w:rPr>
        <w:t>ínnen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mindestens die nach § 11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vorgesehenen Ruhepausen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gewährt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werden. Danach sind bei einer Arbeitszeit von 4,5 Stunden eine oder mehrere im Voraus feststehende Ruhepausen von angemessener Dauer einzulegen. Bei einer Arbeitszeit von 4,5 bis 6 Stunden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sie mindestens 30 Minuten, bei einer Arbeitszeit von mehr als 6 Stunden mindestens 60 Minuten betragen. Als Ruhepause gilt nur eine Arbeitsunterbrechung von mindestens 15 Minuten (§ 11 Abs. 1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Ruhepausen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angemessener zeitlicher Lage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gewährt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werden,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frühestens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 Stunde nach Beginn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spätestens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 Stunde vor Ende der Arbeitszeit (§ 11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</w:t>
      </w:r>
    </w:p>
    <w:p w14:paraId="52E19E96" w14:textId="71D6D4C6" w:rsidR="00AD7554" w:rsidRPr="00DC1564" w:rsidRDefault="00AD7554" w:rsidP="00DC156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Schichtzeit ist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tägliche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Arbeitszeit unter Hinzurechnung der Ruhepausen (§ 4 Abs. 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). Die Schichtzeit darf bei 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10 Stunden nicht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überschreiten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(§ 12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).</w:t>
      </w:r>
    </w:p>
    <w:p w14:paraId="3B1E2CF7" w14:textId="53AD2625" w:rsidR="00AD7554" w:rsidRPr="00DC1564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 Betreuung (§§ 32 - 46 Infektionsschutzgesetz IfSG) finden keine Anwendung, weil ein Block des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Schülerpraktikums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oder einer berufsorientierenden Maßnahme nur den kurzen Zeitraum von in der Regel maximal 15 Arbeitstagen umfasst. </w:t>
      </w:r>
    </w:p>
    <w:p w14:paraId="69F533CB" w14:textId="27AE0307" w:rsidR="00AD7554" w:rsidRPr="00DC1564" w:rsidRDefault="00AD7554" w:rsidP="00DC156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Vor der erstmaligen Aufnahme einer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einer Gemeinschaftseinrichtung (Kinderkrippe,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Kindertagesstätte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Hort, Schule oder sonstige Bildungseinrichtung, Heim, Ferienlager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Einrichtung) ist es erforderlich, dass der Praktikumsbetrieb eine Belehrung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gesundheitlichen Anforderungen entsprechend § 35 des IfSG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durchführt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Teilnehmende an Maßnahmen zur Berufsorientierung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müssen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die gesundheitlichen Anforderungen des § 34 IfSG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erfüllen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Hinsichtlich der gesundheitlichen Anforderungen gelten besondere Vorschriften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i.S. des § 42 IfSG (Herstellen, Behandeln und Inverkehrbringen von Lebensmitteln sowie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Küchen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Gaststätten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ähnlichen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Einrichtungen) aufnehmen wollen oder die in Gemeinschaftseinrichtungen i.S. des § 33 IfSG (Einrichtungen, in denen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überwiegend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Säuglinge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Kinder oder Jugendliche betreut werden) arbeiten wollen. Einzelheiten hierzu sind dem IfSG und den dazu ergangenen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Ausführungsbestimmungen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sowie den in mehreren Sprachen vorliegenden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Merkblättern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zu entnehmen. </w:t>
      </w:r>
    </w:p>
    <w:p w14:paraId="2DD4CAAE" w14:textId="1B682F30" w:rsidR="00AD7554" w:rsidRPr="00DC1564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Bei einer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einer Klinik oder sonstigen Einrichtung des Gesundheitswesens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dürfen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Schülerinnen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mit Personen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Berührung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kommen, durch die sie in ihrer Gesundheit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gefährdet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würden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>.</w:t>
      </w:r>
    </w:p>
    <w:p w14:paraId="57703BDE" w14:textId="77777777" w:rsidR="00AD7554" w:rsidRPr="00CE2E27" w:rsidRDefault="00AD7554" w:rsidP="00AD7554">
      <w:pPr>
        <w:numPr>
          <w:ilvl w:val="0"/>
          <w:numId w:val="4"/>
        </w:numPr>
        <w:spacing w:after="0" w:line="240" w:lineRule="auto"/>
        <w:ind w:left="714" w:hanging="357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Auf die besonderen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Beschäftigungseinschränkungen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-verbote bei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Arbeiten im Sinne des § 22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JArbSchG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wird hingewiesen. Ausnahmen von diesen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Beschäftigungsverboten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sind im Rahmen der Berufsorientierung nicht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zulässig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B59881" w14:textId="77777777" w:rsidR="00AD7554" w:rsidRPr="00CE2E27" w:rsidRDefault="00AD7554" w:rsidP="00AD7554">
      <w:pPr>
        <w:rPr>
          <w:rFonts w:eastAsia="Times New Roman" w:cstheme="minorHAnsi"/>
          <w:b/>
          <w:bCs/>
          <w:sz w:val="21"/>
          <w:szCs w:val="21"/>
          <w:lang w:eastAsia="de-DE"/>
        </w:rPr>
      </w:pPr>
    </w:p>
    <w:p w14:paraId="5CA85312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Unfallversicherungsschutz </w:t>
      </w:r>
    </w:p>
    <w:p w14:paraId="4087BAF2" w14:textId="33BC3D3D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an einem Betriebspraktikum, einer Betriebserkundung oder einem Projekt im Sinne dieses Erlasses teilnehmen, sind nach § 2 Abs. 1 Nr. 8 b Siebtes Buch Sozialgesetzbuch - Gesetzliche Unfallversicherung (SGB VII) - (Artikel 1 des Gesetzes vom 7. August 1996, BGBl. I S. 1254) in der jeweils geltenden Fassung gesetzlich unfallversichert. </w:t>
      </w:r>
    </w:p>
    <w:p w14:paraId="321BB4D9" w14:textId="77777777" w:rsidR="00AD7554" w:rsidRPr="00CE2E27" w:rsidRDefault="00AD7554" w:rsidP="00AD7554">
      <w:pPr>
        <w:ind w:left="720"/>
        <w:rPr>
          <w:rFonts w:eastAsia="Times New Roman" w:cstheme="minorHAnsi"/>
          <w:sz w:val="21"/>
          <w:szCs w:val="21"/>
          <w:lang w:eastAsia="de-DE"/>
        </w:rPr>
      </w:pPr>
    </w:p>
    <w:p w14:paraId="6BF5C7FD" w14:textId="77777777" w:rsidR="00AD7554" w:rsidRPr="00CE2E27" w:rsidRDefault="00AD7554" w:rsidP="00D60F1E">
      <w:pPr>
        <w:spacing w:after="0"/>
        <w:rPr>
          <w:rFonts w:eastAsia="Times New Roman" w:cstheme="minorHAnsi"/>
          <w:b/>
          <w:bCs/>
          <w:sz w:val="21"/>
          <w:szCs w:val="21"/>
          <w:lang w:eastAsia="de-DE"/>
        </w:rPr>
      </w:pPr>
      <w:r w:rsidRPr="00CE2E27">
        <w:rPr>
          <w:rFonts w:eastAsia="Times New Roman" w:cstheme="minorHAnsi"/>
          <w:b/>
          <w:bCs/>
          <w:sz w:val="21"/>
          <w:szCs w:val="21"/>
          <w:lang w:eastAsia="de-DE"/>
        </w:rPr>
        <w:t xml:space="preserve">Haftpflichtversicherungsschutz </w:t>
      </w:r>
    </w:p>
    <w:p w14:paraId="4F0628F9" w14:textId="38B44BCC" w:rsidR="00AD7554" w:rsidRPr="00CE2E27" w:rsidRDefault="00AD7554" w:rsidP="00D60F1E">
      <w:pPr>
        <w:spacing w:after="0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an einem Betriebspraktikum teilnehmen, sind bei der Sparkassen- Versicherung gegen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der gesetzlichen Haftpflicht versichert. Falls Erziehungsberechtigte eine private Haftpflichtversicherung abgeschlossen haben, geht diese vor. Ausgeschlossen sind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an der Ladung sowie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durch die Inbetriebnahme des Kraftfahrzeuges am Kraftfahrzeug selbst oder durch das Kraftfahrzeug entstehen. </w:t>
      </w:r>
    </w:p>
    <w:p w14:paraId="3A5EC03C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Versicherungssummen je Versicherungsfall betragen: </w:t>
      </w:r>
    </w:p>
    <w:p w14:paraId="6001873A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1.100.000,-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Personenschäden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500.000,-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Sachschäden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51.500,-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allgemeiner Art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51.5000,- Euro </w:t>
      </w:r>
      <w:r w:rsidRPr="00CE2E27">
        <w:rPr>
          <w:rFonts w:eastAsia="Times New Roman" w:cstheme="minorHAnsi"/>
          <w:sz w:val="21"/>
          <w:szCs w:val="21"/>
          <w:lang w:eastAsia="de-DE"/>
        </w:rPr>
        <w:tab/>
      </w:r>
      <w:r w:rsidRPr="00CE2E27">
        <w:rPr>
          <w:rFonts w:eastAsia="Times New Roman" w:cstheme="minorHAnsi"/>
          <w:sz w:val="21"/>
          <w:szCs w:val="21"/>
          <w:lang w:eastAsia="de-DE"/>
        </w:rPr>
        <w:tab/>
        <w:t xml:space="preserve">bei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Verletzung des Datenschutzes </w:t>
      </w:r>
    </w:p>
    <w:p w14:paraId="35AD9636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Gesamtleistung des Versicherers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Versicherungsfälle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eines Versicherungsjahres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beträgt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das Doppelte dieser Versicherungssummen. </w:t>
      </w:r>
    </w:p>
    <w:p w14:paraId="5F685CCC" w14:textId="44E44BF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Der Versicherungsschutz umfasst 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Abänderung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der allgemeinen Versicherungsbedingungen insbesondere auch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wegen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Gegenständen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und Einrichtungen eines Betriebes, die oben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aufgeführten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durch Verletzung des Datenschutzes sowie gegenseitige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, auch wenn es sich um Geschwister handelt. </w:t>
      </w:r>
    </w:p>
    <w:p w14:paraId="41BCED61" w14:textId="5860A550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den Ersatz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nicht im Zusammenhang mit den ihnen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übertragenen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sondern nur bei Gelegenheit des Betriebspraktikums verursachen (z.B. mutwillige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), gelten die allgemeinen haftungsrechtlichen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insbesondere also § 828 Abs. 3 BGB. Danach haftet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Minderjährige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oder ein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Minderjähriger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oder der das 7. Lebensjahr, aber nicht das 18. Lebensjahr vollendet hat,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die sie oder er einem anderen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zufügt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wenn sie oder er bei der </w:t>
      </w:r>
      <w:r w:rsidRPr="00CE2E27">
        <w:rPr>
          <w:rFonts w:eastAsia="Times New Roman" w:cstheme="minorHAnsi"/>
          <w:sz w:val="21"/>
          <w:szCs w:val="21"/>
          <w:lang w:eastAsia="de-DE"/>
        </w:rPr>
        <w:lastRenderedPageBreak/>
        <w:t xml:space="preserve">Begehung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schädigenden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Handlung die zur Erkenntnis der Verantwortlichkeit erforderliche Einsicht hatte. Umfasst sind alle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Haftpflichtschäden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wegen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Beschädigung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Kraftfahrzeugen beim Be- und Entladen und alle sich daraus ergebenden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Vermögensschäden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</w:t>
      </w:r>
    </w:p>
    <w:p w14:paraId="07EB71F7" w14:textId="77777777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Rahmen des Betriebspraktikums ist es verboten, ein Kraftfahrzeug zu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führen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. Wird eine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in einem wegen besonderer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Gefährdung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grundsätzlich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ausgeschlossenen Umfeld unerlaubt oder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eigenmächtig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ausgeführt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, besteht kein Versicherungsschutz. </w:t>
      </w:r>
    </w:p>
    <w:p w14:paraId="6E7FCE65" w14:textId="0C376522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Der Versicherungsschutz erstreckt sich nicht auf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Ansprüche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auf Auskunft, Berichtigung, Sperrung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Löschung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von Daten sowie die hiermit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zusammenhängenden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Verfahrenskosten. Ferner sind nicht versichert Bußen, Strafen sowie Kosten solcher Verfahren. In Ermangelung zureichenden Deckungsschutzes entfallen Betriebspraktika von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/Schülern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in gewerblichen und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öffentlich-rechtlichen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Auskunftsdiensten. </w:t>
      </w:r>
    </w:p>
    <w:p w14:paraId="381DE557" w14:textId="478975B4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Die Mitunterzeichnung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Verpflichtungserklärung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zum „Datenschutz im Betriebspraktikum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für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r w:rsidRPr="00CE2E27">
        <w:rPr>
          <w:rFonts w:eastAsia="Times New Roman" w:cstheme="minorHAnsi"/>
          <w:sz w:val="21"/>
          <w:szCs w:val="21"/>
          <w:lang w:eastAsia="de-DE"/>
        </w:rPr>
        <w:t xml:space="preserve"> – Verpflichtung zur Verschwiegenheit“ durch die Erziehungsberechtigten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begründet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keine Mithaftung der Betreffenden im Fall eines durch die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Praktikumstätigkeit</w:t>
      </w:r>
      <w:proofErr w:type="spellEnd"/>
      <w:r w:rsidRPr="00CE2E27">
        <w:rPr>
          <w:rFonts w:eastAsia="Times New Roman" w:cstheme="minorHAnsi"/>
          <w:sz w:val="21"/>
          <w:szCs w:val="21"/>
          <w:lang w:eastAsia="de-DE"/>
        </w:rPr>
        <w:t xml:space="preserve"> verursachten Schadens im Bereich des Datenschutzes. </w:t>
      </w:r>
    </w:p>
    <w:p w14:paraId="6DF3FCC4" w14:textId="4FAD01BD" w:rsidR="00AD7554" w:rsidRPr="00CE2E27" w:rsidRDefault="00AD7554" w:rsidP="00AD7554">
      <w:pPr>
        <w:spacing w:before="100" w:beforeAutospacing="1" w:after="100" w:afterAutospacing="1"/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Im Schadensfall ist eine Auskunft bei den Erziehungsberechtigten bzw. der </w:t>
      </w:r>
      <w:proofErr w:type="spellStart"/>
      <w:r w:rsidRPr="00CE2E27">
        <w:rPr>
          <w:rFonts w:eastAsia="Times New Roman" w:cstheme="minorHAnsi"/>
          <w:sz w:val="21"/>
          <w:szCs w:val="21"/>
          <w:lang w:eastAsia="de-DE"/>
        </w:rPr>
        <w:t>Schüler</w:t>
      </w:r>
      <w:r w:rsidR="00A1303E">
        <w:rPr>
          <w:rFonts w:eastAsia="Times New Roman" w:cstheme="minorHAnsi"/>
          <w:sz w:val="21"/>
          <w:szCs w:val="21"/>
          <w:lang w:eastAsia="de-DE"/>
        </w:rPr>
        <w:t>innen</w:t>
      </w:r>
      <w:proofErr w:type="spellEnd"/>
      <w:r w:rsidR="00EF2A09">
        <w:rPr>
          <w:rFonts w:eastAsia="Times New Roman" w:cstheme="minorHAnsi"/>
          <w:sz w:val="21"/>
          <w:szCs w:val="21"/>
          <w:lang w:eastAsia="de-DE"/>
        </w:rPr>
        <w:t>/Schüler</w:t>
      </w:r>
      <w:bookmarkStart w:id="0" w:name="_GoBack"/>
      <w:bookmarkEnd w:id="0"/>
      <w:r w:rsidRPr="00CE2E27">
        <w:rPr>
          <w:rFonts w:eastAsia="Times New Roman" w:cstheme="minorHAnsi"/>
          <w:sz w:val="21"/>
          <w:szCs w:val="21"/>
          <w:lang w:eastAsia="de-DE"/>
        </w:rPr>
        <w:t xml:space="preserve"> einzuholen, ob eine private Haftpflichtversicherung besteht. Ist dies nicht der Fall, so wird der Schadensfall durch die Schulleiterin oder den Schulleiter unter Angabe der Versicherungsnummer 32011 081 / 006 der </w:t>
      </w:r>
    </w:p>
    <w:p w14:paraId="4434D3F4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Sparkassen Versicherung </w:t>
      </w:r>
    </w:p>
    <w:p w14:paraId="39B40F15" w14:textId="77777777" w:rsidR="00AD7554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Zweigniederlassung Wiesbaden </w:t>
      </w:r>
    </w:p>
    <w:p w14:paraId="4BB3717E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>Bahnhofstraße 69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>65185 Wiesbaden</w:t>
      </w:r>
      <w:r w:rsidRPr="00CE2E27">
        <w:rPr>
          <w:rFonts w:eastAsia="Times New Roman" w:cstheme="minorHAnsi"/>
          <w:sz w:val="21"/>
          <w:szCs w:val="21"/>
          <w:lang w:eastAsia="de-DE"/>
        </w:rPr>
        <w:br/>
        <w:t xml:space="preserve">Telefon: 0611 178-0 </w:t>
      </w:r>
    </w:p>
    <w:p w14:paraId="3E15D8F3" w14:textId="77777777" w:rsidR="00AD7554" w:rsidRPr="00CE2E27" w:rsidRDefault="00AD7554" w:rsidP="00AD7554">
      <w:pPr>
        <w:rPr>
          <w:rFonts w:eastAsia="Times New Roman" w:cstheme="minorHAnsi"/>
          <w:sz w:val="21"/>
          <w:szCs w:val="21"/>
          <w:lang w:eastAsia="de-DE"/>
        </w:rPr>
      </w:pPr>
      <w:r w:rsidRPr="00CE2E27">
        <w:rPr>
          <w:rFonts w:eastAsia="Times New Roman" w:cstheme="minorHAnsi"/>
          <w:sz w:val="21"/>
          <w:szCs w:val="21"/>
          <w:lang w:eastAsia="de-DE"/>
        </w:rPr>
        <w:t xml:space="preserve">Telefax: 0611 178-2700 gemeldet. </w:t>
      </w:r>
    </w:p>
    <w:p w14:paraId="6730A483" w14:textId="77777777" w:rsidR="00AD7554" w:rsidRPr="00F84599" w:rsidRDefault="00AD7554" w:rsidP="00AD7554">
      <w:pPr>
        <w:rPr>
          <w:rFonts w:cstheme="minorHAnsi"/>
        </w:rPr>
      </w:pPr>
    </w:p>
    <w:p w14:paraId="2B804A1B" w14:textId="023C2FAD" w:rsidR="00AD7554" w:rsidRPr="00AD7554" w:rsidRDefault="00AD7554" w:rsidP="00AD7554">
      <w:pPr>
        <w:tabs>
          <w:tab w:val="left" w:pos="1305"/>
        </w:tabs>
      </w:pPr>
    </w:p>
    <w:sectPr w:rsidR="00AD7554" w:rsidRPr="00AD7554" w:rsidSect="00E2690C">
      <w:headerReference w:type="default" r:id="rId7"/>
      <w:footerReference w:type="default" r:id="rId8"/>
      <w:headerReference w:type="first" r:id="rId9"/>
      <w:pgSz w:w="11906" w:h="16838"/>
      <w:pgMar w:top="2977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4C571" w14:textId="77777777" w:rsidR="00A13FEC" w:rsidRDefault="00A13FEC" w:rsidP="004266E8">
      <w:pPr>
        <w:spacing w:after="0" w:line="240" w:lineRule="auto"/>
      </w:pPr>
      <w:r>
        <w:separator/>
      </w:r>
    </w:p>
  </w:endnote>
  <w:endnote w:type="continuationSeparator" w:id="0">
    <w:p w14:paraId="736522E2" w14:textId="77777777" w:rsidR="00A13FEC" w:rsidRDefault="00A13FEC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5E4C1" w14:textId="77777777" w:rsidR="00A13FEC" w:rsidRDefault="00A13FEC" w:rsidP="004266E8">
      <w:pPr>
        <w:spacing w:after="0" w:line="240" w:lineRule="auto"/>
      </w:pPr>
      <w:r>
        <w:separator/>
      </w:r>
    </w:p>
  </w:footnote>
  <w:footnote w:type="continuationSeparator" w:id="0">
    <w:p w14:paraId="2C228051" w14:textId="77777777" w:rsidR="00A13FEC" w:rsidRDefault="00A13FEC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18F"/>
    <w:multiLevelType w:val="multilevel"/>
    <w:tmpl w:val="83F857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5279EB"/>
    <w:multiLevelType w:val="multilevel"/>
    <w:tmpl w:val="DD88680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F19A5"/>
    <w:rsid w:val="0013083A"/>
    <w:rsid w:val="002128B3"/>
    <w:rsid w:val="002B1A73"/>
    <w:rsid w:val="00396241"/>
    <w:rsid w:val="004266E8"/>
    <w:rsid w:val="004B38DB"/>
    <w:rsid w:val="004B40BB"/>
    <w:rsid w:val="006103B0"/>
    <w:rsid w:val="00843BB3"/>
    <w:rsid w:val="00890EC7"/>
    <w:rsid w:val="00923AB3"/>
    <w:rsid w:val="00936233"/>
    <w:rsid w:val="009D5FAD"/>
    <w:rsid w:val="00A1303E"/>
    <w:rsid w:val="00A13FEC"/>
    <w:rsid w:val="00AD7554"/>
    <w:rsid w:val="00C23800"/>
    <w:rsid w:val="00CB5274"/>
    <w:rsid w:val="00CB5D41"/>
    <w:rsid w:val="00CD2E92"/>
    <w:rsid w:val="00D036D8"/>
    <w:rsid w:val="00D334B0"/>
    <w:rsid w:val="00D60F1E"/>
    <w:rsid w:val="00DC1564"/>
    <w:rsid w:val="00E2690C"/>
    <w:rsid w:val="00E36FBD"/>
    <w:rsid w:val="00E84332"/>
    <w:rsid w:val="00E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1827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Lehrer</cp:lastModifiedBy>
  <cp:revision>2</cp:revision>
  <cp:lastPrinted>2021-11-23T09:25:00Z</cp:lastPrinted>
  <dcterms:created xsi:type="dcterms:W3CDTF">2024-10-31T19:02:00Z</dcterms:created>
  <dcterms:modified xsi:type="dcterms:W3CDTF">2024-10-31T19:02:00Z</dcterms:modified>
</cp:coreProperties>
</file>